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  <w:jc w:val="center"/>
      </w:pPr>
      <w:r>
        <w:t>Figures for Publication</w:t>
      </w:r>
    </w:p>
    <w:p>
      <w:pPr>
        <w:pStyle w:val="Subtitle"/>
      </w:pPr>
      <w:r>
        <w:t>Hierarchical EfficientNet for Earthquake Precursor Detection</w:t>
      </w:r>
    </w:p>
    <w:p/>
    <w:p>
      <w:pPr>
        <w:pStyle w:val="Heading1"/>
      </w:pPr>
      <w:r>
        <w:t>Main Figures</w:t>
      </w:r>
    </w:p>
    <w:p>
      <w:pPr>
        <w:pStyle w:val="Heading2"/>
      </w:pPr>
      <w:r>
        <w:t>Figure 1: BMKG Geomagnetic Observatory Network and Study Area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59349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1_Station_Map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34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rPr>
          <w:b/>
        </w:rPr>
        <w:t xml:space="preserve">Figure 1: </w:t>
      </w:r>
      <w:r>
        <w:t>Geographic distribution of 24 BMKG geomagnetic observatories across Indonesia used in this study. Stations are color-coded by data contribution: red circles indicate high-contribution stations (&gt;100 samples), orange circles indicate medium-contribution stations (50-100 samples), and yellow circles indicate supporting stations (&lt;50 samples). The map shows Indonesia's strategic position in the Pacific Ring of Fire, with stations distributed across major tectonic boundaries. Station codes are labeled for reference (e.g., TND = Tondano, KPG = Kupang, JYP = Jayapura). The network provides comprehensive coverage for detecting geomagnetic precursors associated with earthquake activity across the Indonesian archipelago.</w:t>
      </w:r>
    </w:p>
    <w:p>
      <w:r>
        <w:br w:type="page"/>
      </w:r>
    </w:p>
    <w:p>
      <w:pPr>
        <w:pStyle w:val="Heading2"/>
      </w:pPr>
      <w:r>
        <w:t>Figure 2: Data Preprocessing and Spectrogram Generation Pipeline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3891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2_Preprocessing_Flow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rPr>
          <w:b/>
        </w:rPr>
        <w:t xml:space="preserve">Figure 2: </w:t>
      </w:r>
      <w:r>
        <w:t>Comprehensive data preprocessing pipeline for converting raw geomagnetic time series to model-ready spectrograms. (A) Raw data acquisition from BMKG observatories via SSH, showing 1-hour temporal windows before earthquake events. (B) Three-component geomagnetic field measurements (H: horizontal north, D: declination, Z: vertical) sampled at 1 Hz. (C) Short-Time Fourier Transform (STFT) applied to each component with 256-sample window and 50% overlap. (D) Frequency filtering to isolate Ultra-Low Frequency (ULF) band (0.01-0.1 Hz). (E) Min-max normalization per channel. (F) RGB composition where H→Red, D→Green, Z→Blue channels, creating a 224×224×3 input tensor. (G) Example spectrograms for different magnitude classes showing distinct spectral signatures.</w:t>
      </w:r>
    </w:p>
    <w:p>
      <w:r>
        <w:br w:type="page"/>
      </w:r>
    </w:p>
    <w:p>
      <w:pPr>
        <w:pStyle w:val="Heading2"/>
      </w:pPr>
      <w:r>
        <w:t>Figure 3: Hierarchical EfficientNet Architecture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465032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3_Model_Architectur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650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rPr>
          <w:b/>
        </w:rPr>
        <w:t xml:space="preserve">Figure 3: </w:t>
      </w:r>
      <w:r>
        <w:t>Detailed architecture of the proposed Hierarchical EfficientNet model. The model consists of three main components: (1) Backbone: EfficientNet-B0 pretrained on ImageNet, serving as feature extractor. (2) Shared Neck: A 256-dimensional embedding layer with batch normalization and SiLU activation. (3) Multi-Task Heads: Three specialized prediction heads - (a) Binary Head (2 classes): Gatekeeper for precursor vs. normal classification; (b) Magnitude Head (4 classes): Estimates earthquake magnitude (Normal, Moderate, Medium, Large) with 2× class weight boost for Large events; (c) Azimuth Head (9 classes): Predicts earthquake source direction. Total loss: L_total = 2.0×L_binary + 1.0×L_magnitude + 0.5×L_azimuth. Model parameters: 5.8M. Inference time: 73ms per sample on CPU.</w:t>
      </w:r>
    </w:p>
    <w:p>
      <w:r>
        <w:br w:type="page"/>
      </w:r>
    </w:p>
    <w:p>
      <w:pPr>
        <w:pStyle w:val="Heading2"/>
      </w:pPr>
      <w:r>
        <w:t>Figure 4: Training History and Convergence Analysis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286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4_Training_History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rPr>
          <w:b/>
        </w:rPr>
        <w:t xml:space="preserve">Figure 4: </w:t>
      </w:r>
      <w:r>
        <w:t>Training dynamics over 50 epochs showing model convergence and generalization. (A) Total Loss: Combined loss for training (blue) and validation (orange) sets. Early stopping triggered at epoch 42. (B) Binary Classification Loss: Gatekeeper task showing excellent convergence. Training loss: 0.12, Validation loss: 0.15. (C) Magnitude Classification Loss: Multi-class task with stable convergence after epoch 20. (D) Azimuth Classification Loss: Most challenging task but demonstrates learning. (E) Learning Rate Schedule: Cosine annealing with warm restarts. (F) Validation Metrics: Recall Large reaches 98.65% and Precision Large achieves 100% by epoch 30. No significant overfitting observed (train/val gap &lt;0.1).</w:t>
      </w:r>
    </w:p>
    <w:p>
      <w:r>
        <w:br w:type="page"/>
      </w:r>
    </w:p>
    <w:p>
      <w:pPr>
        <w:pStyle w:val="Heading2"/>
      </w:pPr>
      <w:r>
        <w:t>Figure 5: Confusion Matrix and Performance Heatmap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969722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5_CM_Magnitud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697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rPr>
          <w:b/>
        </w:rPr>
        <w:t xml:space="preserve">Figure 5: </w:t>
      </w:r>
      <w:r>
        <w:t>Normalized confusion matrix for magnitude classification on test set (303 samples). Key Observations: (1) Large Events (M ≥ 6.0): 98.6% correctly classified (72/73), with only 1 misclassified as Medium. Zero Large events classified as Normal or Moderate. (2) Medium Events: 82.9% recall (58/70). (3) Moderate Events: 81.8% recall (45/55). (4) Normal Events: 97.1% recall (102/105). Overall Accuracy: 91.4% (277/303). Precision by Class: Normal: 92.7%, Moderate: 84.9%, Medium: 95.1%, Large: 100.0%. The perfect precision for Large events (no false alarms) is particularly noteworthy for operational deployment.</w:t>
      </w:r>
    </w:p>
    <w:p>
      <w:r>
        <w:br w:type="page"/>
      </w:r>
    </w:p>
    <w:p>
      <w:pPr>
        <w:pStyle w:val="Heading2"/>
      </w:pPr>
      <w:r>
        <w:t>Figure 6: Grad-CAM Interpretability Analysis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2356834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_6_GradCAM_Interpreta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68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rPr>
          <w:b/>
        </w:rPr>
        <w:t xml:space="preserve">Figure 6: </w:t>
      </w:r>
      <w:r>
        <w:t>Gradient-weighted Class Activation Mapping (Grad-CAM) visualization revealing which spectral-temporal features the model focuses on. Each row shows: (Left) Original RGB spectrogram, (Center) Grad-CAM heatmap overlaid, (Right) Isolated attention regions. Row A - Large Event (M6.5): Model strongly attends to high-amplitude, low-frequency features (0.01-0.03 Hz) in Z-component, particularly 30-45 minutes before event. Row B - Medium Event (M5.3): Moderate attention to mid-frequency band. Row C - Moderate Event (M4.7): Weak, scattered attention. Row D - Normal (M3.2): Minimal attention. Model learns physically meaningful features (ULF band, Z-component dominance), validating decision-making process.</w:t>
      </w:r>
    </w:p>
    <w:p>
      <w:r>
        <w:br w:type="page"/>
      </w:r>
    </w:p>
    <w:p>
      <w:pPr>
        <w:pStyle w:val="Heading1"/>
      </w:pPr>
      <w:r>
        <w:t>Supplementary Figures</w:t>
      </w:r>
    </w:p>
    <w:p>
      <w:pPr>
        <w:pStyle w:val="Heading2"/>
      </w:pPr>
      <w:r>
        <w:t>Figure S1: Test Set Distribution Analysis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s_test_distributio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rPr>
          <w:b/>
        </w:rPr>
        <w:t xml:space="preserve">Figure S1: </w:t>
      </w:r>
      <w:r>
        <w:t>Distribution of test samples across magnitude classes and stations. Shows balanced representation across different categories ensuring robust evaluation of model performance.</w:t>
      </w:r>
    </w:p>
    <w:p>
      <w:r>
        <w:br w:type="page"/>
      </w:r>
    </w:p>
    <w:p>
      <w:pPr>
        <w:pStyle w:val="Heading2"/>
      </w:pPr>
      <w:r>
        <w:t>Figure S2: Comparison with Q1 Baseline Models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491345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s_comparison_q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913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rPr>
          <w:b/>
        </w:rPr>
        <w:t xml:space="preserve">Figure S2: </w:t>
      </w:r>
      <w:r>
        <w:t>Performance comparison between our Hierarchical EfficientNet and baseline models from Q1 evaluation. Our model achieves superior recall for Large events while maintaining competitive performance across other metrics.</w:t>
      </w:r>
    </w:p>
    <w:p>
      <w:r>
        <w:br w:type="page"/>
      </w:r>
    </w:p>
    <w:p>
      <w:pPr>
        <w:pStyle w:val="Heading2"/>
      </w:pPr>
      <w:r>
        <w:t>Figure S3: Multi-Metric Performance Radar Chart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5486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is_radar_performanc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rPr>
          <w:b/>
        </w:rPr>
        <w:t xml:space="preserve">Figure S3: </w:t>
      </w:r>
      <w:r>
        <w:t>Radar chart showing model performance across multiple evaluation metrics. The chart demonstrates balanced performance with particular strength in Large event detection (recall and precision both near 100%).</w:t>
      </w:r>
    </w:p>
    <w:p>
      <w:r>
        <w:br w:type="page"/>
      </w:r>
    </w:p>
    <w:p>
      <w:pPr>
        <w:pStyle w:val="Heading1"/>
      </w:pPr>
      <w:r>
        <w:t>Figure Submission Guidelines</w:t>
      </w:r>
    </w:p>
    <w:p>
      <w:pPr>
        <w:pStyle w:val="ListBullet"/>
      </w:pPr>
      <w:r>
        <w:t>All figures are provided in PNG format at 300 DPI resolution</w:t>
      </w:r>
    </w:p>
    <w:p>
      <w:pPr>
        <w:pStyle w:val="ListBullet"/>
      </w:pPr>
      <w:r>
        <w:t>Figure dimensions: Approximately 3000×2000 pixels for main figures</w:t>
      </w:r>
    </w:p>
    <w:p>
      <w:pPr>
        <w:pStyle w:val="ListBullet"/>
      </w:pPr>
      <w:r>
        <w:t>Color mode: RGB for online publication</w:t>
      </w:r>
    </w:p>
    <w:p>
      <w:pPr>
        <w:pStyle w:val="ListBullet"/>
      </w:pPr>
      <w:r>
        <w:t>File size: Each figure &lt;10 MB</w:t>
      </w:r>
    </w:p>
    <w:p>
      <w:pPr>
        <w:pStyle w:val="ListBullet"/>
      </w:pPr>
      <w:r>
        <w:t>Figures are numbered sequentially (Figure 1-6 for main, S1-S3 for supplementary)</w:t>
      </w:r>
    </w:p>
    <w:p>
      <w:pPr>
        <w:pStyle w:val="ListBullet"/>
      </w:pPr>
      <w:r>
        <w:t>Captions are provided both in this document and separately in manuscript</w:t>
      </w:r>
    </w:p>
    <w:p>
      <w:pPr>
        <w:pStyle w:val="ListBullet"/>
      </w:pPr>
      <w:r>
        <w:t>All figures are original work created specifically for this study</w:t>
      </w:r>
    </w:p>
    <w:p>
      <w:pPr>
        <w:pStyle w:val="ListBullet"/>
      </w:pPr>
      <w:r>
        <w:t>No copyright permissions required</w:t>
      </w:r>
    </w:p>
    <w:p/>
    <w:p>
      <w:pPr>
        <w:pStyle w:val="Heading2"/>
      </w:pPr>
      <w:r>
        <w:t>Technical Specifications</w:t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Format</w:t>
            </w:r>
          </w:p>
        </w:tc>
        <w:tc>
          <w:tcPr>
            <w:tcW w:type="dxa" w:w="4320"/>
          </w:tcPr>
          <w:p>
            <w:r>
              <w:t>PNG (Portable Network Graphics)</w:t>
            </w:r>
          </w:p>
        </w:tc>
      </w:tr>
      <w:tr>
        <w:tc>
          <w:tcPr>
            <w:tcW w:type="dxa" w:w="4320"/>
          </w:tcPr>
          <w:p>
            <w:r>
              <w:t>Resolution</w:t>
            </w:r>
          </w:p>
        </w:tc>
        <w:tc>
          <w:tcPr>
            <w:tcW w:type="dxa" w:w="4320"/>
          </w:tcPr>
          <w:p>
            <w:r>
              <w:t>300 DPI</w:t>
            </w:r>
          </w:p>
        </w:tc>
      </w:tr>
      <w:tr>
        <w:tc>
          <w:tcPr>
            <w:tcW w:type="dxa" w:w="4320"/>
          </w:tcPr>
          <w:p>
            <w:r>
              <w:t>Color Mode</w:t>
            </w:r>
          </w:p>
        </w:tc>
        <w:tc>
          <w:tcPr>
            <w:tcW w:type="dxa" w:w="4320"/>
          </w:tcPr>
          <w:p>
            <w:r>
              <w:t>RGB</w:t>
            </w:r>
          </w:p>
        </w:tc>
      </w:tr>
      <w:tr>
        <w:tc>
          <w:tcPr>
            <w:tcW w:type="dxa" w:w="4320"/>
          </w:tcPr>
          <w:p>
            <w:r>
              <w:t>Compression</w:t>
            </w:r>
          </w:p>
        </w:tc>
        <w:tc>
          <w:tcPr>
            <w:tcW w:type="dxa" w:w="4320"/>
          </w:tcPr>
          <w:p>
            <w:r>
              <w:t>Lossless</w:t>
            </w:r>
          </w:p>
        </w:tc>
      </w:tr>
      <w:tr>
        <w:tc>
          <w:tcPr>
            <w:tcW w:type="dxa" w:w="4320"/>
          </w:tcPr>
          <w:p>
            <w:r>
              <w:t>Total Main Figures</w:t>
            </w:r>
          </w:p>
        </w:tc>
        <w:tc>
          <w:tcPr>
            <w:tcW w:type="dxa" w:w="4320"/>
          </w:tcPr>
          <w:p>
            <w:r>
              <w:t>6</w:t>
            </w:r>
          </w:p>
        </w:tc>
      </w:tr>
      <w:tr>
        <w:tc>
          <w:tcPr>
            <w:tcW w:type="dxa" w:w="4320"/>
          </w:tcPr>
          <w:p>
            <w:r>
              <w:t>Total Supplementary Figures</w:t>
            </w:r>
          </w:p>
        </w:tc>
        <w:tc>
          <w:tcPr>
            <w:tcW w:type="dxa" w:w="4320"/>
          </w:tcPr>
          <w:p>
            <w:r>
              <w:t>3</w:t>
            </w:r>
          </w:p>
        </w:tc>
      </w:tr>
      <w:tr>
        <w:tc>
          <w:tcPr>
            <w:tcW w:type="dxa" w:w="4320"/>
          </w:tcPr>
          <w:p>
            <w:r>
              <w:t>Total Package Size</w:t>
            </w:r>
          </w:p>
        </w:tc>
        <w:tc>
          <w:tcPr>
            <w:tcW w:type="dxa" w:w="4320"/>
          </w:tcPr>
          <w:p>
            <w:r>
              <w:t>~15 MB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